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60.png" ContentType="image/png"/>
  <Override PartName="/word/media/rId48.png" ContentType="image/png"/>
  <Override PartName="/word/media/rId3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Reconstructing deep-time food webs: model assumptions drive paleoecological inference</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2026-01-08</w:t>
      </w:r>
    </w:p>
    <w:p>
      <w:pPr>
        <w:pStyle w:val="AbstractTitle"/>
      </w:pPr>
      <w:r>
        <w:t xml:space="preserve">Abstract</w:t>
      </w:r>
    </w:p>
    <w:p>
      <w:pPr>
        <w:pStyle w:val="Abstract"/>
      </w:pPr>
      <w:r>
        <w:t xml:space="preserve">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vary widely in their assumptions, mechanisms, and data requirements. Here, we evaluate which network construction approaches are most suitable for paleo-food-web reconstruction given the constraints of the fossil record, and we assess how model choice shapes the networks we infer. Using the Toarcian Oceanic Anoxic Event (Early Jurassic, ~183 Ma) as a case study, we compare six modelling approaches encompassing mechanistic, structural, and theory-based methods. These models yield strikingly different network structures and pairwise interactions, and that these discrepancies propagate into ecological inference, including conclusions about extinction dynamics. Our results highlight the importance of the need to align model choice with research questions and underscore the interpretative risks of treating all food-web reconstruction methods as interchangeable.</w:t>
      </w:r>
    </w:p>
    <w:p>
      <w:pPr>
        <w:pStyle w:val="FirstParagraph"/>
      </w:pPr>
      <w:r>
        <w:t xml:space="preserve">There has been growing interest in using deep-time fossil data to understand how species interacted with each other in past ecosystems (</w:t>
      </w:r>
      <w:r>
        <w:rPr>
          <w:i/>
          <w:iCs/>
        </w:rPr>
        <w:t xml:space="preserve">e.g.,</w:t>
      </w:r>
      <w:r>
        <w:t xml:space="preserve"> </w:t>
      </w:r>
      <w:r>
        <w:t xml:space="preserve">[1]</w:t>
      </w:r>
      <w:r>
        <w:t xml:space="preserve">;</w:t>
      </w:r>
      <w:r>
        <w:t xml:space="preserve"> </w:t>
      </w:r>
      <w:r>
        <w:t xml:space="preserve">[2]</w:t>
      </w:r>
      <w:r>
        <w:t xml:space="preserve">) and how ecological communities responded to past environmental change</w:t>
      </w:r>
      <w:r>
        <w:t xml:space="preserve"> </w:t>
      </w:r>
      <w:r>
        <w:t xml:space="preserve">[3,4]</w:t>
      </w:r>
      <w:r>
        <w:t xml:space="preserve">. In modern ecosystems, species interactions and the networks that they form have become central to studying biodiversity, energy flow, and community stability (</w:t>
      </w:r>
      <w:r>
        <w:rPr>
          <w:i/>
          <w:iCs/>
        </w:rPr>
        <w:t xml:space="preserve">e.g.,</w:t>
      </w:r>
      <w:r>
        <w:t xml:space="preserve"> </w:t>
      </w:r>
      <w:r>
        <w:t xml:space="preserve">[5]</w:t>
      </w:r>
      <w:r>
        <w:t xml:space="preserve">). Network prediction tools derived from modern ecology have increasingly been applied by paleoecologists to reconstruct ancient food webs to gain insight into how the biosphere responds to major environmental transitions (</w:t>
      </w:r>
      <w:r>
        <w:rPr>
          <w:i/>
          <w:iCs/>
        </w:rPr>
        <w:t xml:space="preserve">e.g.,</w:t>
      </w:r>
      <w:r>
        <w:t xml:space="preserve"> </w:t>
      </w:r>
      <w:r>
        <w:t xml:space="preserve">[6]</w:t>
      </w:r>
      <w:r>
        <w:t xml:space="preserve">;</w:t>
      </w:r>
      <w:r>
        <w:t xml:space="preserve"> </w:t>
      </w:r>
      <w:r>
        <w:t xml:space="preserve">[7]</w:t>
      </w:r>
      <w:r>
        <w:t xml:space="preserve">;</w:t>
      </w:r>
      <w:r>
        <w:t xml:space="preserve"> </w:t>
      </w:r>
      <w:r>
        <w:t xml:space="preserve">[8]</w:t>
      </w:r>
      <w:r>
        <w:t xml:space="preserve">). However, we are faced by the limitation that interactions cannot be directly observed in the fossil record (with the exception of rare instances</w:t>
      </w:r>
      <w:r>
        <w:t xml:space="preserve"> </w:t>
      </w:r>
      <w:r>
        <w:rPr>
          <w:i/>
          <w:iCs/>
        </w:rPr>
        <w:t xml:space="preserve">e.g.,</w:t>
      </w:r>
      <w:r>
        <w:t xml:space="preserve"> </w:t>
      </w:r>
      <w:r>
        <w:t xml:space="preserve">[9]</w:t>
      </w:r>
      <w:r>
        <w:t xml:space="preserve">;</w:t>
      </w:r>
      <w:r>
        <w:t xml:space="preserve"> </w:t>
      </w:r>
      <w:r>
        <w:t xml:space="preserve">[10]</w:t>
      </w:r>
      <w:r>
        <w:t xml:space="preserve">) and as a result, the reconstruction of paleo food webs depends on models that allow us to infer feeding relationships from preserved traits, analogies to modern taxa, or ecological theory. While numerous models exist for inferring interactions (see</w:t>
      </w:r>
      <w:r>
        <w:t xml:space="preserve"> </w:t>
      </w:r>
      <w:r>
        <w:t xml:space="preserve">[11]</w:t>
      </w:r>
      <w:r>
        <w:t xml:space="preserve">;</w:t>
      </w:r>
      <w:r>
        <w:t xml:space="preserve"> </w:t>
      </w:r>
      <w:r>
        <w:t xml:space="preserve">[12]</w:t>
      </w:r>
      <w:r>
        <w:t xml:space="preserve">;</w:t>
      </w:r>
      <w:r>
        <w:t xml:space="preserve"> </w:t>
      </w:r>
      <w:r>
        <w:t xml:space="preserve">[13]</w:t>
      </w:r>
      <w:r>
        <w:t xml:space="preserve">;</w:t>
      </w:r>
      <w:r>
        <w:t xml:space="preserve"> </w:t>
      </w:r>
      <w:r>
        <w:t xml:space="preserve">[14]</w:t>
      </w:r>
      <w:r>
        <w:t xml:space="preserve"> </w:t>
      </w:r>
      <w:r>
        <w:t xml:space="preserve">for broader reviews), only a subset can reliably be applied in paleo contexts, where data on traits, abundances, and community composition are inherently incomplete and biased.</w:t>
      </w:r>
    </w:p>
    <w:p>
      <w:pPr>
        <w:pStyle w:val="BodyText"/>
      </w:pPr>
      <w:r>
        <w:t xml:space="preserve">The growing interest in paleo food webs has outpaced a clear discussion of</w:t>
      </w:r>
      <w:r>
        <w:t xml:space="preserve"> </w:t>
      </w:r>
      <w:r>
        <w:rPr>
          <w:i/>
          <w:iCs/>
        </w:rPr>
        <w:t xml:space="preserve">which</w:t>
      </w:r>
      <w:r>
        <w:t xml:space="preserve"> </w:t>
      </w:r>
      <w:r>
        <w:t xml:space="preserve">construction methods are suitable for which purposes. Different models generate different kinds of networks (</w:t>
      </w:r>
      <w:r>
        <w:rPr>
          <w:i/>
          <w:iCs/>
        </w:rPr>
        <w:t xml:space="preserve">e.g.,</w:t>
      </w:r>
      <w:r>
        <w:t xml:space="preserve"> </w:t>
      </w:r>
      <w:r>
        <w:t xml:space="preserve">feasible, realised, or purely structural) and these differences can fundamentally alter ecological interpretations. In this study, we evaluate a suite of methods that can be feasibly applied to paleo communities and explore how their underlying assumptions shape both network structure and ecological inference. Specifically we focus on identifying a suite of models that are appropriate for use with paleo data that can feasibly be constructed within the limitations that are imposed by fossil data while still intersecting across the different network types. Here we use the data from</w:t>
      </w:r>
      <w:r>
        <w:t xml:space="preserve"> </w:t>
      </w:r>
      <w:r>
        <w:t xml:space="preserve">[6]</w:t>
      </w:r>
      <w:r>
        <w:t xml:space="preserve"> </w:t>
      </w:r>
      <w:r>
        <w:t xml:space="preserve">to reconstruct communities across the Toarcian extinction event using a suite of different modelling approaches. We ask (i) how do different models vary in the network structures and pairwise interactions they recover, and (ii) to what extent does model choice influence ecological inference, including which factors are interpreted as the dominant drivers of extinction across a major extinction event..</w:t>
      </w:r>
    </w:p>
    <w:bookmarkStart w:id="27" w:name="constructing-paleo-webs"/>
    <w:p>
      <w:pPr>
        <w:pStyle w:val="Heading1"/>
      </w:pPr>
      <w:r>
        <w:t xml:space="preserve">1. Constructing paleo webs</w:t>
      </w:r>
    </w:p>
    <w:bookmarkStart w:id="20" w:name="X6b219abb1429039feaedf8051fe8ae8627f48e0"/>
    <w:p>
      <w:pPr>
        <w:pStyle w:val="Heading2"/>
      </w:pPr>
      <w:r>
        <w:t xml:space="preserve">1.1 Challenges specific to building paleo networks</w:t>
      </w:r>
    </w:p>
    <w:p>
      <w:pPr>
        <w:pStyle w:val="FirstParagraph"/>
      </w:pPr>
      <w:r>
        <w:t xml:space="preserve">Reconstructing paleo food webs presents challenges that differ from those encountered in modern systems. First, the fossil record provides an incomplete and selectively preserved subset of the original community. Preservation biases (driven by habitat, skeletal composition, and sedimentary environment) mean that some trophic groups are over-represented (e.g., hard-shelled organisms), while others (e.g., soft-bodied taxa, plankton) are systematically under-sampled. This directly constrains the kinds of models that can be applied, because models requiring complete assemblages or accurate guild representation will perform poorly when preservation is uneven</w:t>
      </w:r>
      <w:r>
        <w:t xml:space="preserve"> </w:t>
      </w:r>
      <w:r>
        <w:rPr>
          <w:b/>
          <w:bCs/>
        </w:rPr>
        <w:t xml:space="preserve">(REF)</w:t>
      </w:r>
      <w:r>
        <w:t xml:space="preserve">. Furthermore, there is inherent uncertainty about the true community compositions. Fossil assemblages may represent time-averaged</w:t>
      </w:r>
      <w:r>
        <w:t xml:space="preserve"> </w:t>
      </w:r>
      <w:r>
        <w:t xml:space="preserve">“death assemblage”</w:t>
      </w:r>
      <w:r>
        <w:t xml:space="preserve"> </w:t>
      </w:r>
      <w:r>
        <w:t xml:space="preserve">accumulations, transported material, or mixed habitats, rather than true representations of</w:t>
      </w:r>
      <w:r>
        <w:t xml:space="preserve"> </w:t>
      </w:r>
      <w:r>
        <w:t xml:space="preserve">“life assemblages”</w:t>
      </w:r>
      <w:r>
        <w:t xml:space="preserve"> </w:t>
      </w:r>
      <w:r>
        <w:t xml:space="preserve">of organisms that interacted with one another. As a result, any paleontological assemblage is best interpreted as a set of taxa that could have interacted, rather than a snapshot of a specific subset of interacting organisms. Moreover, certain traits cannot be reliably estimated, such as body size due to disarticulation (e.g., echinoderms) or partial preservation (e.g., sharks), or species abundances due to time-averaging, transportation, or preservation. These shortcomings limit the potential models that can be applied to reconstruct trophic networks from fossil assemblages. Additionally, many extinct taxa have ambiguous trait states, especially regarding diet and behaviour. Even when functional morphology is preserved, ecological behaviour is seldom directly evident. Such uncertainty propagates differently across model families: mechanistic models</w:t>
      </w:r>
      <w:r>
        <w:t xml:space="preserve"> </w:t>
      </w:r>
      <w:r>
        <w:rPr>
          <w:b/>
          <w:bCs/>
        </w:rPr>
        <w:t xml:space="preserve">(e.g., xxx, Figure 1)</w:t>
      </w:r>
      <w:r>
        <w:t xml:space="preserve"> </w:t>
      </w:r>
      <w:r>
        <w:t xml:space="preserve">tend to accommodate broad trait assignments, whereas theory-driven models</w:t>
      </w:r>
      <w:r>
        <w:t xml:space="preserve"> </w:t>
      </w:r>
      <w:r>
        <w:rPr>
          <w:b/>
          <w:bCs/>
        </w:rPr>
        <w:t xml:space="preserve">(e.g., xxx)</w:t>
      </w:r>
      <w:r>
        <w:t xml:space="preserve"> </w:t>
      </w:r>
      <w:r>
        <w:t xml:space="preserve">are more sensitive to uncertainty in body size, foraging mode, or feeding constraints. These limitations do not render reconstruction impossible but highlight the importance of choosing a model whose assumptions match the type of ecological inference being attempted.</w:t>
      </w:r>
    </w:p>
    <w:bookmarkEnd w:id="20"/>
    <w:bookmarkStart w:id="26" w:name="X62264afe1fbc73abe88026533d9b22a09e7dbcd"/>
    <w:p>
      <w:pPr>
        <w:pStyle w:val="Heading2"/>
      </w:pPr>
      <w:r>
        <w:t xml:space="preserve">1.2 Understanding the approaches to network construction</w:t>
      </w:r>
    </w:p>
    <w:p>
      <w:pPr>
        <w:pStyle w:val="FirstParagraph"/>
      </w:pPr>
      <w:r>
        <w:t xml:space="preserve">Network construction approaches can be broadly grouped into three methodological and conceptual approaches</w:t>
      </w:r>
      <w:r>
        <w:t xml:space="preserve"> </w:t>
      </w:r>
      <w:hyperlink w:anchor="fig-concept">
        <w:r>
          <w:rPr>
            <w:rStyle w:val="Hyperlink"/>
          </w:rPr>
          <w:t xml:space="preserve">Figure 1</w:t>
        </w:r>
      </w:hyperlink>
      <w:r>
        <w:t xml:space="preserve">. The first are mechanistic models which evaluate whether an interaction is</w:t>
      </w:r>
      <w:r>
        <w:t xml:space="preserve"> </w:t>
      </w:r>
      <w:r>
        <w:rPr>
          <w:i/>
          <w:iCs/>
        </w:rPr>
        <w:t xml:space="preserve">feasibly possible</w:t>
      </w:r>
      <w:r>
        <w:t xml:space="preserve">. These models typically use trait-based rules (</w:t>
      </w:r>
      <w:r>
        <w:rPr>
          <w:i/>
          <w:iCs/>
        </w:rPr>
        <w:t xml:space="preserve">e.g.,</w:t>
      </w:r>
      <w:r>
        <w:t xml:space="preserve"> </w:t>
      </w:r>
      <w:r>
        <w:t xml:space="preserve">feeding mode, body size, or functional morphology) or evolutionary relationships to determine whether a species</w:t>
      </w:r>
      <w:r>
        <w:t xml:space="preserve"> </w:t>
      </w:r>
      <w:r>
        <w:rPr>
          <w:i/>
          <w:iCs/>
        </w:rPr>
        <w:t xml:space="preserve">could</w:t>
      </w:r>
      <w:r>
        <w:t xml:space="preserve"> </w:t>
      </w:r>
      <w:r>
        <w:t xml:space="preserve">consume another, by extension this also allows us to identify forbidden links (</w:t>
      </w:r>
      <w:r>
        <w:rPr>
          <w:i/>
          <w:iCs/>
        </w:rPr>
        <w:t xml:space="preserve">i.e.,</w:t>
      </w:r>
      <w:r>
        <w:t xml:space="preserve"> </w:t>
      </w:r>
      <w:r>
        <w:t xml:space="preserve">interactions that are mechanistically incompatible</w:t>
      </w:r>
      <w:r>
        <w:t xml:space="preserve"> </w:t>
      </w:r>
      <w:r>
        <w:t xml:space="preserve">[15]</w:t>
      </w:r>
      <w:r>
        <w:t xml:space="preserve">). Mechanistic approaches tend to produce metawebs - the full set of all plausible interactions given biological constraints. Theory-driven models embed assumptions from ecological theory (such as niche theory or foraging ecology) to generate realised interactions and networks. Structural models are similar to theory-driven models, with the exception that these models are species agnostic and as such can only be used to make inferences about network structure</w:t>
      </w:r>
      <w:r>
        <w:t xml:space="preserve"> </w:t>
      </w:r>
      <w:r>
        <w:rPr>
          <w:b/>
          <w:bCs/>
        </w:rPr>
        <w:t xml:space="preserve">(i.e., xxx)</w:t>
      </w:r>
      <w:r>
        <w:t xml:space="preserve"> </w:t>
      </w:r>
      <w:r>
        <w:t xml:space="preserve">rather than inferring realistic pairwise predator-prey links. Both theory-driven and structural models aim to reproduce characteristic patterns observed in modern food webs, such as intervality, trophic hierarchies, or body-size-scaled feeding ranges. They do not necessarily require detailed trait information and instead rely on ecological rules or statistical distributions consistent with empirical food webs.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Most existing paleo-specific approaches fall within the mechanistic space (e.g.,</w:t>
      </w:r>
      <w:r>
        <w:t xml:space="preserve"> </w:t>
      </w:r>
      <w:r>
        <w:t xml:space="preserve">[16]</w:t>
      </w:r>
      <w:r>
        <w:t xml:space="preserve">;</w:t>
      </w:r>
      <w:r>
        <w:t xml:space="preserve"> </w:t>
      </w:r>
      <w:r>
        <w:t xml:space="preserve">[17]</w:t>
      </w:r>
      <w:r>
        <w:t xml:space="preserve">;</w:t>
      </w:r>
      <w:r>
        <w:t xml:space="preserve"> </w:t>
      </w:r>
      <w:r>
        <w:t xml:space="preserve">[18]</w:t>
      </w:r>
      <w:r>
        <w:t xml:space="preserve">). While these are well-suited for reconstructing feasible interactions, they represent only a subset of the broader space of network construction methods. Incorporating theory-driven models allows paleoecologists to explore realised interaction structures and address a wider suite of ecological questions—provided their assumptions are compatible with the limitations of fossil data. Here we present a range of models</w:t>
      </w:r>
      <w:r>
        <w:t xml:space="preserve"> </w:t>
      </w:r>
      <w:hyperlink w:anchor="tbl-models">
        <w:r>
          <w:rPr>
            <w:rStyle w:val="Hyperlink"/>
          </w:rPr>
          <w:t xml:space="preserve">Table 1</w:t>
        </w:r>
      </w:hyperlink>
      <w:r>
        <w:t xml:space="preserve"> </w:t>
      </w:r>
      <w:r>
        <w:t xml:space="preserve">that carry specific assumptions and data requirements. For instance, allometric models depend on quantitative body-size estimates, which must be inferred from size classes or functional morphology in the fossil record. Structural models such as the niche model require only richness and connectance, but their species-agnostic nature limits their usefulness for trait-based or diet-specific questions. Mechanistic models rely on accurate assignment of feeding traits, which may be uncertain for extinct taxa but are often more tractable than estimating abundances or interaction strengths. Understanding how these limitations intersect with what fossil data can reliably provide is essential for selecting an appropriate modelling approach.</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[20]</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[16]</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[23]</w:t>
                  </w:r>
                </w:p>
              </w:tc>
            </w:tr>
          </w:tbl>
          <w:bookmarkEnd w:id="25"/>
          <w:p/>
        </w:tc>
      </w:tr>
    </w:tbl>
    <w:bookmarkEnd w:id="26"/>
    <w:bookmarkEnd w:id="27"/>
    <w:bookmarkStart w:id="54" w:name="X5d8f14e4bf601be5ae93afe49f520cb101804bb"/>
    <w:p>
      <w:pPr>
        <w:pStyle w:val="Heading1"/>
      </w:pPr>
      <w:r>
        <w:t xml:space="preserve">2. Case study: Toarcian mass extinction event</w:t>
      </w:r>
    </w:p>
    <w:bookmarkStart w:id="31" w:name="dataset-overview"/>
    <w:p>
      <w:pPr>
        <w:pStyle w:val="Heading2"/>
      </w:pPr>
      <w:r>
        <w:t xml:space="preserve">2.1 Dataset overview</w:t>
      </w:r>
    </w:p>
    <w:bookmarkStart w:id="28" w:name="species-occurrence"/>
    <w:p>
      <w:pPr>
        <w:pStyle w:val="Heading3"/>
      </w:pPr>
      <w:r>
        <w:t xml:space="preserve">2.1.1 Species occurrence</w:t>
      </w:r>
    </w:p>
    <w:p>
      <w:pPr>
        <w:pStyle w:val="FirstParagraph"/>
      </w:pPr>
      <w:r>
        <w:t xml:space="preserve">We used fossil occurrence data spanning the upper Pliensbachian (~185 Ma) to the upper Toarcian (~175 Ma) of the Cleveland Basin, following</w:t>
      </w:r>
      <w:r>
        <w:t xml:space="preserve"> </w:t>
      </w:r>
      <w:r>
        <w:t xml:space="preserve">[6]</w:t>
      </w:r>
      <w:r>
        <w:t xml:space="preserve">. The dataset comprises four paleo-communities representing the pre-extinction, post-extinction, early recovery, and late recovery intervals of the Toarcian Oceanic Anoxic Event. Each assemblage was treated as a community of potentially interacting taxa.</w:t>
      </w:r>
    </w:p>
    <w:bookmarkEnd w:id="28"/>
    <w:bookmarkStart w:id="29" w:name="defining-modes-of-life-traits"/>
    <w:p>
      <w:pPr>
        <w:pStyle w:val="Heading3"/>
      </w:pPr>
      <w:r>
        <w:t xml:space="preserve">2.1.2 Defining modes of life (traits)</w:t>
      </w:r>
    </w:p>
    <w:p>
      <w:pPr>
        <w:pStyle w:val="FirstParagraph"/>
      </w:pPr>
      <w:r>
        <w:t xml:space="preserve">We used the modes of life (traits) as identified in</w:t>
      </w:r>
      <w:r>
        <w:t xml:space="preserve"> </w:t>
      </w:r>
      <w:r>
        <w:t xml:space="preserve">[6]</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taxon based on the ecological traits defined in the Bambach ecospace model</w:t>
      </w:r>
      <w:r>
        <w:t xml:space="preserve"> </w:t>
      </w:r>
      <w:r>
        <w:t xml:space="preserve">[24]</w:t>
      </w:r>
      <w:r>
        <w:t xml:space="preserve">.</w:t>
      </w:r>
    </w:p>
    <w:bookmarkEnd w:id="29"/>
    <w:bookmarkStart w:id="30" w:name="constructing-networks"/>
    <w:p>
      <w:pPr>
        <w:pStyle w:val="Heading3"/>
      </w:pPr>
      <w:r>
        <w:t xml:space="preserve">2.1.3 Constructing networks</w:t>
      </w:r>
    </w:p>
    <w:p>
      <w:pPr>
        <w:pStyle w:val="FirstParagraph"/>
      </w:pPr>
      <w:r>
        <w:t xml:space="preserve">For each paleo community, we constructed 100 networks using each of the models listed in</w:t>
      </w:r>
      <w:r>
        <w:t xml:space="preserve"> </w:t>
      </w:r>
      <w:hyperlink w:anchor="tbl-models">
        <w:r>
          <w:rPr>
            <w:rStyle w:val="Hyperlink"/>
          </w:rPr>
          <w:t xml:space="preserve">Table 1</w:t>
        </w:r>
      </w:hyperlink>
      <w:r>
        <w:t xml:space="preserve"> </w:t>
      </w:r>
      <w:r>
        <w:t xml:space="preserve">(6 models × 4 time intervals × 100 replicates = 2,400 networks). Networks were then simplified by removing disconnected species thus ensuring that all nodes participated in at least one interaction. Models requiring body-size inputs (ADBM, l-matrix, and body-size ratio models) were parameterised by drawing body masses from uniform distributions bounded by the size-class limits assigned in</w:t>
      </w:r>
      <w:r>
        <w:t xml:space="preserve"> </w:t>
      </w:r>
      <w:r>
        <w:t xml:space="preserve">[6]</w:t>
      </w:r>
      <w:r>
        <w:t xml:space="preserve">. This approach propagates uncertainty inherent in fossil size estimates while preserving consistent relative sizes among species within a replicate. For each replicate, the same set of body masses was used across models that depend on size. For structural models (random and niche), connectance was drawn uniformly from 0.07–0.34 to ensure networks spanned a realistic range of empirical food-web connectances, while holding richness constant. The same connectance value was used for both models within a replicate to facilitate direct comparison. For each network, we calculated the metrics listed in</w:t>
      </w:r>
      <w:r>
        <w:t xml:space="preserve"> </w:t>
      </w:r>
      <w:hyperlink w:anchor="tbl-properties">
        <w:r>
          <w:rPr>
            <w:rStyle w:val="Hyperlink"/>
          </w:rPr>
          <w:t xml:space="preserve">Table 2</w:t>
        </w:r>
      </w:hyperlink>
      <w:r>
        <w:t xml:space="preserve">, capturing macro-, meso-, and micro-scale structural properties.</w:t>
      </w:r>
    </w:p>
    <w:bookmarkEnd w:id="30"/>
    <w:bookmarkEnd w:id="31"/>
    <w:bookmarkStart w:id="41" w:name="X5f293602e0a41505444ff1a5239f00ce84a920d"/>
    <w:p>
      <w:pPr>
        <w:pStyle w:val="Heading2"/>
      </w:pPr>
      <w:r>
        <w:t xml:space="preserve">2.2 Models capture different network structure but in unexpected ways</w:t>
      </w:r>
    </w:p>
    <w:p>
      <w:pPr>
        <w:pStyle w:val="FirstParagraph"/>
      </w:pPr>
      <w:r>
        <w:t xml:space="preserve">When quantifying network structure, we are essentially asking how interactions are distributed across taxa and how these patterns scale from individual nodes to the whole community. Structural metrics are informative because they reflect underlying ecological processes: how energy flows through trophic levels, how disturbances propagate, where redundancy or fragility exists, and how species specialise or generalise in their diets. To capture these different facets, we evaluated a suite of macro-, meso-, and micro-scale metrics</w:t>
      </w:r>
      <w:r>
        <w:t xml:space="preserve"> </w:t>
      </w:r>
      <w:hyperlink w:anchor="tbl-properties">
        <w:r>
          <w:rPr>
            <w:rStyle w:val="Hyperlink"/>
          </w:rPr>
          <w:t xml:space="preserve">Table 2</w:t>
        </w:r>
      </w:hyperlink>
      <w:r>
        <w:t xml:space="preserve">, ranging from global properties like connectance and complexity to motifs and species-level generality and vulnerability.</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[13]</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[29]</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[29]</w:t>
                  </w:r>
                </w:p>
              </w:tc>
            </w:tr>
          </w:tbl>
          <w:bookmarkEnd w:id="32"/>
          <w:p/>
        </w:tc>
      </w:tr>
    </w:tbl>
    <w:p>
      <w:pPr>
        <w:pStyle w:val="BodyText"/>
      </w:pPr>
      <w:r>
        <w:t xml:space="preserve">Despite being supplied with the same taxon pools, the different models generated networks with systematically different structural signatures. A MANOVA (using the metrics listed in</w:t>
      </w:r>
      <w:r>
        <w:t xml:space="preserve"> </w:t>
      </w:r>
      <w:hyperlink w:anchor="tbl-properties">
        <w:r>
          <w:rPr>
            <w:rStyle w:val="Hyperlink"/>
          </w:rPr>
          <w:t xml:space="preserve">Table 2</w:t>
        </w:r>
      </w:hyperlink>
      <w:r>
        <w:t xml:space="preserve"> </w:t>
      </w:r>
      <w:r>
        <w:t xml:space="preserve">as the dependent variables and model as the grouping variable) revealed a strong multivariate effect of model type on network structure (Pillai’s Trace = 3.89, p &lt; 0.001), indicating that each modelling approach produces a distinct</w:t>
      </w:r>
      <w:r>
        <w:t xml:space="preserve"> </w:t>
      </w:r>
      <w:r>
        <w:t xml:space="preserve">‘structural fingerprint’</w:t>
      </w:r>
      <w:r>
        <w:t xml:space="preserve">. Follow-up ANOVAs confirmed that model choice had substantial effects on every metric we examined, with effect sizes typically exceeding 0.80. The only exception was maximum trophic level (η² = 0.19), suggesting some convergence in vertical structure even when structure differs widely.</w:t>
      </w:r>
    </w:p>
    <w:p>
      <w:pPr>
        <w:pStyle w:val="BodyText"/>
      </w:pPr>
      <w:r>
        <w:t xml:space="preserve">Post-hoc comparisons revealed three broad clusters</w:t>
      </w:r>
      <w:r>
        <w:t xml:space="preserve"> </w:t>
      </w:r>
      <w:hyperlink w:anchor="fig-marginal">
        <w:r>
          <w:rPr>
            <w:rStyle w:val="Hyperlink"/>
          </w:rPr>
          <w:t xml:space="preserve">Figure 2</w:t>
        </w:r>
      </w:hyperlink>
      <w:r>
        <w:t xml:space="preserve">. PFIM consistently yielded the most connected, dense networks, reflecting its mechanistic emphasis on trait-based feasibility. Niche, random, and body-size ratio models formed an intermediate group, producing networks with moderate connectance and motif frequencies. ADBM and l-matrix formed a tight cluster characterised by constrained feeding ranges, reflecting their shared basis in energetic and allometric theory. Although these groupings broadly align with</w:t>
      </w:r>
      <w:r>
        <w:t xml:space="preserve"> </w:t>
      </w:r>
      <w:r>
        <w:rPr>
          <w:i/>
          <w:iCs/>
        </w:rPr>
        <w:t xml:space="preserve">a priori</w:t>
      </w:r>
      <w:r>
        <w:t xml:space="preserve"> </w:t>
      </w:r>
      <w:r>
        <w:t xml:space="preserve">expectations about model families, several patterns emerged that were less intuitive. Most notably, the body-size ratio model, which is theoretically grounded but, aligned more closely with structural models than with the fully theoretic ones. This suggests that even slight differences in how body-size constraints are implemented can shift a model’s position within the network-structure landscape. A Linear Discriminant Analysis (LDA) further illustrated the distinctiveness of the model families</w:t>
      </w:r>
      <w:r>
        <w:t xml:space="preserve"> </w:t>
      </w:r>
      <w:hyperlink w:anchor="fig-structure">
        <w:r>
          <w:rPr>
            <w:rStyle w:val="Hyperlink"/>
          </w:rPr>
          <w:t xml:space="preserve">Figure 3</w:t>
        </w:r>
      </w:hyperlink>
      <w:r>
        <w:t xml:space="preserve">. Classification accuracy of the LDA was 85%, demonstrating that the combination of dependent variables effectively discriminates among model types, indicating the strong imprint that model assumptions leave on inferred ecological patterns. The PFIM model is strongly separated, while ADBM and l-matrix networks cluster closely together. The niche and random models occupy intermediate positions. Importantly these results indicate that model choice is the dominant driver of inferred network structure, often overwhelming the ecological signal embedded within the taxon pool itself. Models designed to reproduce feasible interactions and those designed to generate realised niche structure occupy fundamentally different portions of</w:t>
      </w:r>
      <w:r>
        <w:t xml:space="preserve"> </w:t>
      </w:r>
      <w:r>
        <w:t xml:space="preserve">‘network space’</w:t>
      </w:r>
      <w:r>
        <w:t xml:space="preserve">, even when operating on identical taxa. Such structural divergences could have direct implications for ecological inference, particularly when comparing networks across time or when using network metrics to infer processes such as community stability, trophic organisation, or susceptibility to cascading extinctions.</w:t>
      </w:r>
    </w:p>
    <w:tbl>
      <w:tblPr>
        <w:tblStyle w:val="Table"/>
        <w:tblW w:type="pct" w:w="5000"/>
        <w:tblLayout w:type="fixed"/>
        <w:tblLook w:firstRow="0" w:lastRow="0" w:firstColumn="0" w:lastColumn="0" w:noHBand="0" w:noVBand="0" w:val="0000"/>
      </w:tblPr>
      <w:tblGrid>
        <w:gridCol w:w="7920"/>
      </w:tblGrid>
      <w:tr>
        <w:tc>
          <w:tcPr/>
          <w:bookmarkStart w:id="36" w:name="fig-marginal"/>
          <w:p>
            <w:pPr>
              <w:pStyle w:val="Compact"/>
              <w:jc w:val="center"/>
            </w:pPr>
            <w:r>
              <w:drawing>
                <wp:inline>
                  <wp:extent cx="5334000" cy="4267199"/>
                  <wp:effectExtent b="0" l="0" r="0" t="0"/>
                  <wp:docPr descr="" title="" id="34" name="Picture"/>
                  <a:graphic>
                    <a:graphicData uri="http://schemas.openxmlformats.org/drawingml/2006/picture">
                      <pic:pic>
                        <pic:nvPicPr>
                          <pic:cNvPr descr="figures/marginal_mean.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5600700"/>
                  <wp:effectExtent b="0" l="0" r="0" t="0"/>
                  <wp:docPr descr="" title="" id="38" name="Picture"/>
                  <a:graphic>
                    <a:graphicData uri="http://schemas.openxmlformats.org/drawingml/2006/picture">
                      <pic:pic>
                        <pic:nvPicPr>
                          <pic:cNvPr descr="figures/MANOVA_3_panel.png" id="39" name="Picture"/>
                          <pic:cNvPicPr>
                            <a:picLocks noChangeArrowheads="1" noChangeAspect="1"/>
                          </pic:cNvPicPr>
                        </pic:nvPicPr>
                        <pic:blipFill>
                          <a:blip r:embed="rId37"/>
                          <a:stretch>
                            <a:fillRect/>
                          </a:stretch>
                        </pic:blipFill>
                        <pic:spPr bwMode="auto">
                          <a:xfrm>
                            <a:off x="0" y="0"/>
                            <a:ext cx="5334000" cy="56007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40"/>
        </w:tc>
      </w:tr>
    </w:tbl>
    <w:bookmarkEnd w:id="41"/>
    <w:bookmarkStart w:id="46" w:name="X11ba3e3c6fda385d1a26e4eb6853d5ae53d3bf5"/>
    <w:p>
      <w:pPr>
        <w:pStyle w:val="Heading2"/>
      </w:pPr>
      <w:r>
        <w:t xml:space="preserve">2.3 Some networks don’t share any interactions and some share a lot</w:t>
      </w:r>
    </w:p>
    <w:p>
      <w:pPr>
        <w:pStyle w:val="FirstParagraph"/>
      </w:pPr>
      <w:r>
        <w:t xml:space="preserve">Beyond differences in global structure, researchers are often interested in specific ecological relationships,</w:t>
      </w:r>
      <w:r>
        <w:t xml:space="preserve"> </w:t>
      </w:r>
      <w:r>
        <w:rPr>
          <w:i/>
          <w:iCs/>
        </w:rPr>
        <w:t xml:space="preserve">e.g.,</w:t>
      </w:r>
      <w:r>
        <w:t xml:space="preserve"> </w:t>
      </w:r>
      <w:r>
        <w:t xml:space="preserve">who eats who, which species share predators, and how trophic roles change across communities or time. For these types of questions, it is essential to understand how models differ at the level of pairwise interactions. To quantify this, we measured interaction turnover between networks to allow us to assess the degree to which two models predict the same or different links for the same set of species</w:t>
      </w:r>
      <w:r>
        <w:t xml:space="preserve"> </w:t>
      </w:r>
      <w:r>
        <w:t xml:space="preserve">[see 30 for methods]</w:t>
      </w:r>
      <w:r>
        <w:t xml:space="preserve">. This is analogous to β-diversity but applied to links rather than species. Specifically we only looked at the dissimilarity of interaction between shared species. Even when supplied with identical species pools, models varied dramatically in the interactions they inferred</w:t>
      </w:r>
      <w:r>
        <w:t xml:space="preserve"> </w:t>
      </w:r>
      <w:hyperlink w:anchor="fig-beta_div">
        <w:r>
          <w:rPr>
            <w:rStyle w:val="Hyperlink"/>
          </w:rPr>
          <w:t xml:space="preserve">Figure 4</w:t>
        </w:r>
      </w:hyperlink>
      <w:r>
        <w:t xml:space="preserve">. Some pairs of models showed substantial agreement, whereas others shared almost no interactions at all. Note here that we did not include the Random or Niche models as these networks are species agnostic and as such are not designed for inferring species-specific pairwise links.</w:t>
      </w:r>
    </w:p>
    <w:p>
      <w:pPr>
        <w:pStyle w:val="BodyText"/>
      </w:pPr>
      <w:r>
        <w:t xml:space="preserve">The body-size ratio model had consistently high turnover relative to all others, indicating that it inferred diets that were largely distinct. This reflects the strong constraints imposed by its logit-based linking rule, which sharply restricts prey to a narrow</w:t>
      </w:r>
      <w:r>
        <w:t xml:space="preserve"> </w:t>
      </w:r>
      <w:r>
        <w:t xml:space="preserve">‘optimal’</w:t>
      </w:r>
      <w:r>
        <w:t xml:space="preserve"> </w:t>
      </w:r>
      <w:r>
        <w:t xml:space="preserve">size range. Small differences in body-size estimates or functional groupings therefore lead to disproportionately large changes in inferred interactions. In contrast, the ADBM and L-matrix showed low turnover between each other, reflecting their shared theoretical foundations (operationalising foraging decisions and energetic constraints using similar allometric principles). As a result, they tend to produce similar pairwise interactions even when implemented independently. The PFIM exhibited intermediate turnover, sharing more interactions with size-based theoretical models than with the body-size ratio model. This makes sense: although PFIM uses categorical traits and hierarchical feeding rules rather than quantitative foraging theory, these constraints will still produce broadly similar trophic groupings.</w:t>
      </w:r>
    </w:p>
    <w:p>
      <w:pPr>
        <w:pStyle w:val="BodyText"/>
      </w:pPr>
      <w:r>
        <w:t xml:space="preserve">Taken together, these patterns show that pairwise interactions differ far more across models than global metrics alone might suggest. Two models with superficially similar connectance or trophic structure may nonetheless infer completely different diets for individual taxa. This has significant implications for any question focused on species-level ecology, including predator–prey specialisation, trophic niche breadth, or the identity of keystone consumers. These findings reinforce the importance of selecting a model whose assumptions align with the intended inference. If the goal is to explore the full set of possible interactions a species could have had, a mechanistic model such as PFIM is appropriate. If instead the goal is to infer the likely realised interactions or energy pathways, models grounded in allometric foraging theory (ADBM, L-matrix) will provide more ecologically coherent results. Conversely, models like the body-size ratio may be too restrictive or idiosyncratic for diet-based questions because they force interactions into narrow, trait-determined windows.</w:t>
      </w:r>
    </w:p>
    <w:tbl>
      <w:tblPr>
        <w:tblStyle w:val="Table"/>
        <w:tblW w:type="pct" w:w="5000"/>
        <w:tblLayout w:type="fixed"/>
        <w:tblLook w:firstRow="0" w:lastRow="0" w:firstColumn="0" w:lastColumn="0" w:noHBand="0" w:noVBand="0" w:val="0000"/>
      </w:tblPr>
      <w:tblGrid>
        <w:gridCol w:w="7920"/>
      </w:tblGrid>
      <w:tr>
        <w:tc>
          <w:tcPr/>
          <w:bookmarkStart w:id="45" w:name="fig-beta_div"/>
          <w:p>
            <w:pPr>
              <w:pStyle w:val="Compact"/>
              <w:jc w:val="center"/>
            </w:pPr>
            <w:r>
              <w:drawing>
                <wp:inline>
                  <wp:extent cx="5334000" cy="4667250"/>
                  <wp:effectExtent b="0" l="0" r="0" t="0"/>
                  <wp:docPr descr="" title="" id="43" name="Picture"/>
                  <a:graphic>
                    <a:graphicData uri="http://schemas.openxmlformats.org/drawingml/2006/picture">
                      <pic:pic>
                        <pic:nvPicPr>
                          <pic:cNvPr descr="figures/beta_div.png" id="44" name="Picture"/>
                          <pic:cNvPicPr>
                            <a:picLocks noChangeArrowheads="1" noChangeAspect="1"/>
                          </pic:cNvPicPr>
                        </pic:nvPicPr>
                        <pic:blipFill>
                          <a:blip r:embed="rId42"/>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5"/>
        </w:tc>
      </w:tr>
    </w:tbl>
    <w:bookmarkEnd w:id="46"/>
    <w:bookmarkStart w:id="53" w:name="model-choice-changes-the-narrative"/>
    <w:p>
      <w:pPr>
        <w:pStyle w:val="Heading2"/>
      </w:pPr>
      <w:r>
        <w:t xml:space="preserve">2.4 Model choice changes the narrative</w:t>
      </w:r>
    </w:p>
    <w:p>
      <w:pPr>
        <w:pStyle w:val="FirstParagraph"/>
      </w:pPr>
      <w:r>
        <w:t xml:space="preserve">The structural and interaction-level differences documented above raise a central question: do different models also lead to different interpretations of extinction selectivity inference? In other words, does model choice merely affect the architecture of the reconstructed networks, or does it shape the actual stories we tell about how communities collapsed and recovered during the Toarcian extinction event? Using the pre-extinction networks as starting points, we simulated species losses under a suite of ecologically plausible extinction scenarios, including trait-based removals (e.g., body size, motility), network-position removals (e.g., vulnerability, generality), and random extinctions. In each case, we allowed for cascading secondary extinctions. For each model and scenario, we then measured how closely the simulated post-extinction network resembled the real fossil community.</w:t>
      </w:r>
    </w:p>
    <w:bookmarkStart w:id="52" w:name="inferred-extinction-drivers"/>
    <w:p>
      <w:pPr>
        <w:pStyle w:val="Heading3"/>
      </w:pPr>
      <w:r>
        <w:t xml:space="preserve">2.4.1 Inferred extinction drivers</w:t>
      </w:r>
    </w:p>
    <w:p>
      <w:pPr>
        <w:pStyle w:val="FirstParagraph"/>
      </w:pPr>
      <w:r>
        <w:t xml:space="preserve">To assess the consistency with which different modelling approaches evaluate extinction scenarios, we quantified the agreement in scenario rankings produced by each model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modification of</w:t>
      </w:r>
      <w:r>
        <w:t xml:space="preserve"> </w:t>
      </w:r>
      <w:r>
        <w:t xml:space="preserve">[31]</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taxon being removed) or link-level (the wrong links be recovered) mismatches. Because the extinction simulations do not allow for the origination of taxa, when calculating the TSS we only retained taxa that were present in both the pre and post extinction community and so any node-level mismatches between real and simulated networks was due to the wrong taxon being removed and not because new taxa were not.</w:t>
      </w:r>
    </w:p>
    <w:p>
      <w:pPr>
        <w:pStyle w:val="BodyText"/>
      </w:pPr>
      <w:bookmarkStart w:id="47"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47"/>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w:t>
      </w:r>
      <w:r>
        <w:rPr>
          <w:i/>
          <w:iCs/>
        </w:rPr>
        <w:t xml:space="preserve">i.e.,</w:t>
      </w:r>
      <w:r>
        <w:t xml:space="preserve"> </w:t>
      </w:r>
      <w:r>
        <w:t xml:space="preserve">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(Kendall’s τ), which measures the degree of agreement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5</w:t>
        </w:r>
      </w:hyperlink>
      <w:r>
        <w:t xml:space="preserve"> </w:t>
      </w:r>
      <w:r>
        <w:t xml:space="preserve">we see that generally there is a positive correlation between the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promising to observe that it is not often that we have a completely different ranking of extinction mechanisms, with the exception of complexity and the number of direct competition motifs. When looking at the macro-level network properties the random model often showcases a disagreement in terms of the MAD. This is unsurprising as we expect random networks to produce networks that are not ecologically sound and thus will not behave as one may expect</w:t>
      </w:r>
      <w:r>
        <w:t xml:space="preserve"> </w:t>
      </w:r>
      <w:r>
        <w:t xml:space="preserve">[32]</w:t>
      </w:r>
      <w:r>
        <w:t xml:space="preserve">.  Interestingly we once again see the strong similarity between the L-matrix and the ADBM (have a high Kendall’s τ), meaning that they recover a similar ranking of extinction mechanisms, this is unsurprising given that we know these networks tend to recover a similar structure</w:t>
      </w:r>
      <w:r>
        <w:t xml:space="preserve"> </w:t>
      </w:r>
      <w:hyperlink w:anchor="fig-marginal">
        <w:r>
          <w:rPr>
            <w:rStyle w:val="Hyperlink"/>
          </w:rPr>
          <w:t xml:space="preserve">Figure 2</w:t>
        </w:r>
      </w:hyperlink>
      <w:r>
        <w:t xml:space="preserve">. Broadly when we look at the behaviour of the different model families (with the exception of the Random model) we see that they recover similar structural signals with regards to the mechanisms potentially driving extinctions.</w:t>
      </w:r>
    </w:p>
    <w:tbl>
      <w:tblPr>
        <w:tblStyle w:val="Table"/>
        <w:tblW w:type="pct" w:w="5000"/>
        <w:tblLayout w:type="fixed"/>
        <w:tblLook w:firstRow="0" w:lastRow="0" w:firstColumn="0" w:lastColumn="0" w:noHBand="0" w:noVBand="0" w:val="0000"/>
      </w:tblPr>
      <w:tblGrid>
        <w:gridCol w:w="7920"/>
      </w:tblGrid>
      <w:tr>
        <w:tc>
          <w:tcPr/>
          <w:bookmarkStart w:id="51" w:name="fig-mad"/>
          <w:p>
            <w:pPr>
              <w:pStyle w:val="Compact"/>
              <w:jc w:val="center"/>
            </w:pPr>
            <w:r>
              <w:drawing>
                <wp:inline>
                  <wp:extent cx="5334000" cy="8001000"/>
                  <wp:effectExtent b="0" l="0" r="0" t="0"/>
                  <wp:docPr descr="" title="" id="49" name="Picture"/>
                  <a:graphic>
                    <a:graphicData uri="http://schemas.openxmlformats.org/drawingml/2006/picture">
                      <pic:pic>
                        <pic:nvPicPr>
                          <pic:cNvPr descr="figures/kendal_tau.png" id="50" name="Picture"/>
                          <pic:cNvPicPr>
                            <a:picLocks noChangeArrowheads="1" noChangeAspect="1"/>
                          </pic:cNvPicPr>
                        </pic:nvPicPr>
                        <pic:blipFill>
                          <a:blip r:embed="rId48"/>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1"/>
        </w:tc>
      </w:tr>
    </w:tbl>
    <w:p>
      <w:pPr>
        <w:pStyle w:val="BodyText"/>
      </w:pPr>
      <w:r>
        <w:t xml:space="preserve">When looking at the node-level TSS scores (</w:t>
      </w:r>
      <w:hyperlink w:anchor="fig-mad">
        <w:r>
          <w:rPr>
            <w:rStyle w:val="Hyperlink"/>
          </w:rPr>
          <w:t xml:space="preserve">Figure 5</w:t>
        </w:r>
      </w:hyperlink>
      <w:r>
        <w:t xml:space="preserve">, TSS, panel 2) we see that, in general, the signal of the extinction mechanism is maintained across the different models. However as many of the extinction mechanisms are determined by the traits of the node it is not surprising that we see a similar signal as the taxa are being removed in the exact same order. Link-level TSS scores (</w:t>
      </w:r>
      <w:hyperlink w:anchor="fig-mad">
        <w:r>
          <w:rPr>
            <w:rStyle w:val="Hyperlink"/>
          </w:rPr>
          <w:t xml:space="preserve">Figure 5</w:t>
        </w:r>
      </w:hyperlink>
      <w:r>
        <w:t xml:space="preserve">, TSS, panel 1) do not show the same within extinction mechanism ranking/signal. We see that the Random and PFIM models have high TSS scores (i.e., have a</w:t>
      </w:r>
      <w:r>
        <w:t xml:space="preserve"> </w:t>
      </w:r>
      <w:r>
        <w:t xml:space="preserve">‘good fit’</w:t>
      </w:r>
      <w:r>
        <w:t xml:space="preserve">), however in the case of the PFIM this is to be expected as the links are deterministic and so if you have the same two taxon pools you will recover the same links. The</w:t>
      </w:r>
      <w:r>
        <w:t xml:space="preserve"> </w:t>
      </w:r>
      <w:r>
        <w:t xml:space="preserve">‘stochastic’</w:t>
      </w:r>
      <w:r>
        <w:t xml:space="preserve"> </w:t>
      </w:r>
      <w:r>
        <w:t xml:space="preserve">element of the theoretical models (ADBM, l-matrix, and bodymass-ratio) means that they create a degree of noise 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p>
      <w:pPr>
        <w:pStyle w:val="BodyText"/>
      </w:pPr>
      <w:r>
        <w:t xml:space="preserve">Broadly inferred extinction mechanisms were relatively robust across models. This is probably in part because species are removed in the same order, node-level outcomes (which taxa survive) tend to agree. However, at the link level, where secondary cascades depend sensitively on inferred interactions, models often showed limited agreement. PFIM produced consistent link-level outcomes due to its deterministic rules, whereas theory-driven models (ADBM, L-matrix, body-size ratio) generated more variable trajectories due to stochastic link assignment. As a result, different models sometimes reconstructed different pathways of collapse, inferred different trophic groups as being the most affected, or ranked extinction scenarios differently. In other words, while the high-level narrative (e.g., traits matter) is stable, the fine-grained story of ecosystem disruption (who lost interactions first, how cascades unfolded, which species acted as bottlenecks) changes depending on the chosen model. Thus, the Toarcian extinction looks subtly but meaningfully different through the lens of each modelling framework. Model choice, therefore, must be treated as a core component of ecological inference, not a neutral preprocessing step. Some broad signals are robust—especially those driven by species traits—but many of the finer details that paleoecologists care about, such as trophic cascading pathways, keystone taxa, or the ordering of collapse, depend strongly on the chosen model. Researchers must therefore treat model choice not as a technical detail but as a central component of ecological inference.</w:t>
      </w:r>
    </w:p>
    <w:bookmarkEnd w:id="52"/>
    <w:bookmarkEnd w:id="53"/>
    <w:bookmarkEnd w:id="54"/>
    <w:bookmarkStart w:id="65" w:name="X6929083aea44a3629ac060add5f755b32ed6da8"/>
    <w:p>
      <w:pPr>
        <w:pStyle w:val="Heading1"/>
      </w:pPr>
      <w:r>
        <w:t xml:space="preserve">3. Model Choice as an Ecological Inference Decision</w:t>
      </w:r>
    </w:p>
    <w:p>
      <w:pPr>
        <w:pStyle w:val="FirstParagraph"/>
      </w:pPr>
      <w:r>
        <w:t xml:space="preserve">Reconstructing food webs from fossil data is an exercise in inference under uncertainty, and our results demonstrate that the choice of network construction model is itself a major ecological inference decision. Despite using the same taxon pools, different models produced networks with profoundly different structural properties, interaction patterns, and inferred extinction dynamics. These differences emerge not from the fossil data themselves but from the assumptions embedded within each modelling approach. As a consequence, network reconstruction cannot be treated as a neutral methodological step: model choice fundamentally shapes the ecological narratives we extract from the fossil record.</w:t>
      </w:r>
    </w:p>
    <w:bookmarkStart w:id="55" w:name="Xfd64fd3849b5d70e5ae3ceb19f24df882571c24"/>
    <w:p>
      <w:pPr>
        <w:pStyle w:val="Heading2"/>
      </w:pPr>
      <w:r>
        <w:t xml:space="preserve">3.1 What our results demonstrate about model families</w:t>
      </w:r>
    </w:p>
    <w:p>
      <w:pPr>
        <w:pStyle w:val="FirstParagraph"/>
      </w:pPr>
      <w:r>
        <w:t xml:space="preserve">Across every structural metric we measured, model identity explained the majority of variation. PFIM-produced networks were consistently the most connected, while the ADBM and l-matrix produced sparser networks with tighter energetic constraints. Structural models (niche and random) fell between these extremes. These clusters reflect the conceptual differences between feasible, realised, and structural network representations. Importantly, these differences were not superficial. Pairwise interaction turnover revealed that models often disagreed not just on the number of links but on who interacts with whom. Such discrepancies directly affect diet-based ecological questions and interpretations of trophic roles.</w:t>
      </w:r>
    </w:p>
    <w:bookmarkEnd w:id="55"/>
    <w:bookmarkStart w:id="56" w:name="Xa493be659ad8ad229d73a720acf4b47a70acd15"/>
    <w:p>
      <w:pPr>
        <w:pStyle w:val="Heading2"/>
      </w:pPr>
      <w:r>
        <w:t xml:space="preserve">3.2 Consequences for interpreting paleoecological dynamics</w:t>
      </w:r>
    </w:p>
    <w:p>
      <w:pPr>
        <w:pStyle w:val="FirstParagraph"/>
      </w:pPr>
      <w:r>
        <w:t xml:space="preserve">The downstream effects of model choice were most evident when evaluating extinction dynamics. Models often recovered comparable high-level patterns (e.g., trait-driven extinction signals remained robust across models), but the specific ranking of extinction mechanisms varied. Node-level patterns were relatively stable because extinction scenarios based on intrinsic traits remove species in the same order regardless of network structure. However, link-level outcomes—particularly those concerning secondary extinctions, network collapse, and recovery trajectories—were highly model-dependent.</w:t>
      </w:r>
    </w:p>
    <w:p>
      <w:pPr>
        <w:pStyle w:val="BodyText"/>
      </w:pPr>
      <w:r>
        <w:t xml:space="preserve">This means that conclusions about </w:t>
      </w:r>
      <w:r>
        <w:rPr>
          <w:i/>
          <w:iCs/>
        </w:rPr>
        <w:t xml:space="preserve">how</w:t>
      </w:r>
      <w:r>
        <w:t xml:space="preserve"> an extinction unfolded, </w:t>
      </w:r>
      <w:r>
        <w:rPr>
          <w:i/>
          <w:iCs/>
        </w:rPr>
        <w:t xml:space="preserve">which</w:t>
      </w:r>
      <w:r>
        <w:t xml:space="preserve"> interactions disappeared first, or </w:t>
      </w:r>
      <w:r>
        <w:rPr>
          <w:i/>
          <w:iCs/>
        </w:rPr>
        <w:t xml:space="preserve">what</w:t>
      </w:r>
      <w:r>
        <w:t xml:space="preserve"> drove cascading losses are not simply properties of the fossil data but emerge from the assumptions embedded in the chosen model. Researchers therefore need to be explicit about the type of ecological signal they are trying to recover and select models accordingly.</w:t>
      </w:r>
    </w:p>
    <w:bookmarkEnd w:id="56"/>
    <w:bookmarkStart w:id="57" w:name="Xf2c28f4692b6e1ff18e003862b32749880553b8"/>
    <w:p>
      <w:pPr>
        <w:pStyle w:val="Heading2"/>
      </w:pPr>
      <w:r>
        <w:t xml:space="preserve">3.3 Aligning ecological questions with model choice</w:t>
      </w:r>
    </w:p>
    <w:p>
      <w:pPr>
        <w:pStyle w:val="FirstParagraph"/>
      </w:pPr>
      <w:r>
        <w:t xml:space="preserve">Our findings support a simple but crucial principle: different ecological questions require different types of network representations. The assumption that all food-web models are interchangeable is not supported by our results.</w:t>
      </w:r>
    </w:p>
    <w:p>
      <w:pPr>
        <w:pStyle w:val="BodyText"/>
      </w:pPr>
      <w:r>
        <w:t xml:space="preserve">Below is a conceptual summary (corresponding to a possible</w:t>
      </w:r>
      <w:r>
        <w:t xml:space="preserve"> </w:t>
      </w:r>
      <w:hyperlink w:anchor="fig-guidelines">
        <w:r>
          <w:rPr>
            <w:rStyle w:val="Hyperlink"/>
          </w:rPr>
          <w:t xml:space="preserve">Figure 6</w:t>
        </w:r>
      </w:hyperlink>
      <w:r>
        <w:t xml:space="preserv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Ecological question</w:t>
            </w:r>
          </w:p>
        </w:tc>
        <w:tc>
          <w:tcPr/>
          <w:p>
            <w:pPr>
              <w:pStyle w:val="Compact"/>
            </w:pPr>
            <w:r>
              <w:rPr>
                <w:b/>
                <w:bCs/>
              </w:rPr>
              <w:t xml:space="preserve">Recommended model type</w:t>
            </w:r>
          </w:p>
        </w:tc>
        <w:tc>
          <w:tcPr/>
          <w:p>
            <w:pPr>
              <w:pStyle w:val="Compact"/>
            </w:pPr>
            <w:r>
              <w:rPr>
                <w:b/>
                <w:bCs/>
              </w:rPr>
              <w:t xml:space="preserve">Rationale</w:t>
            </w:r>
          </w:p>
        </w:tc>
      </w:tr>
      <w:tr>
        <w:tc>
          <w:tcPr/>
          <w:p>
            <w:pPr>
              <w:pStyle w:val="Compact"/>
            </w:pPr>
            <w:r>
              <w:t xml:space="preserve">What</w:t>
            </w:r>
            <w:r>
              <w:t xml:space="preserve"> </w:t>
            </w:r>
            <w:r>
              <w:rPr>
                <w:i/>
                <w:iCs/>
              </w:rPr>
              <w:t xml:space="preserve">could</w:t>
            </w:r>
            <w:r>
              <w:t xml:space="preserve"> </w:t>
            </w:r>
            <w:r>
              <w:t xml:space="preserve">have eaten what? (feasible interactions; trophic potential)</w:t>
            </w:r>
          </w:p>
        </w:tc>
        <w:tc>
          <w:tcPr/>
          <w:p>
            <w:pPr>
              <w:pStyle w:val="Compact"/>
            </w:pPr>
            <w:r>
              <w:t xml:space="preserve">Mechanistic (PFIM, trait-based, evolutionary-signal models)</w:t>
            </w:r>
          </w:p>
        </w:tc>
        <w:tc>
          <w:tcPr/>
          <w:p>
            <w:pPr>
              <w:pStyle w:val="Compact"/>
            </w:pPr>
            <w:r>
              <w:t xml:space="preserve">Captures all trait-feasible links; appropriate for reconstructing dietary breadth or assessing potential niches.</w:t>
            </w:r>
          </w:p>
        </w:tc>
      </w:tr>
      <w:tr>
        <w:tc>
          <w:tcPr/>
          <w:p>
            <w:pPr>
              <w:pStyle w:val="Compact"/>
            </w:pPr>
            <w:r>
              <w:t xml:space="preserve">What interactions were</w:t>
            </w:r>
            <w:r>
              <w:t xml:space="preserve"> </w:t>
            </w:r>
            <w:r>
              <w:rPr>
                <w:i/>
                <w:iCs/>
              </w:rPr>
              <w:t xml:space="preserve">likely realised</w:t>
            </w:r>
            <w:r>
              <w:t xml:space="preserve">?</w:t>
            </w:r>
          </w:p>
        </w:tc>
        <w:tc>
          <w:tcPr/>
          <w:p>
            <w:pPr>
              <w:pStyle w:val="Compact"/>
            </w:pPr>
            <w:r>
              <w:t xml:space="preserve">Theory-driven (ADBM, l-matrix)</w:t>
            </w:r>
          </w:p>
        </w:tc>
        <w:tc>
          <w:tcPr/>
          <w:p>
            <w:pPr>
              <w:pStyle w:val="Compact"/>
            </w:pPr>
            <w:r>
              <w:t xml:space="preserve">Encodes foraging ecology and energetic constraints; provides ecologically plausible</w:t>
            </w:r>
            <w:r>
              <w:t xml:space="preserve"> </w:t>
            </w:r>
            <w:r>
              <w:t xml:space="preserve">‘realised’</w:t>
            </w:r>
            <w:r>
              <w:t xml:space="preserve"> </w:t>
            </w:r>
            <w:r>
              <w:t xml:space="preserve">networks.</w:t>
            </w:r>
          </w:p>
        </w:tc>
      </w:tr>
      <w:tr>
        <w:tc>
          <w:tcPr/>
          <w:p>
            <w:pPr>
              <w:pStyle w:val="Compact"/>
            </w:pPr>
            <w:r>
              <w:t xml:space="preserve">How do global macro structural properties vary?</w:t>
            </w:r>
          </w:p>
        </w:tc>
        <w:tc>
          <w:tcPr/>
          <w:p>
            <w:pPr>
              <w:pStyle w:val="Compact"/>
            </w:pPr>
            <w:r>
              <w:t xml:space="preserve">Structural models (niche, random as baseline)</w:t>
            </w:r>
          </w:p>
        </w:tc>
        <w:tc>
          <w:tcPr/>
          <w:p>
            <w:pPr>
              <w:pStyle w:val="Compact"/>
            </w:pPr>
            <w:r>
              <w:t xml:space="preserve">Useful for understanding generic patterns (connectance, trophic depth) without trait reliance.</w:t>
            </w:r>
          </w:p>
        </w:tc>
      </w:tr>
      <w:tr>
        <w:tc>
          <w:tcPr/>
          <w:p>
            <w:pPr>
              <w:pStyle w:val="Compact"/>
            </w:pPr>
            <w:r>
              <w:t xml:space="preserve">How do traits influence dynamics (e.g., cascade sensitivity)?</w:t>
            </w:r>
          </w:p>
        </w:tc>
        <w:tc>
          <w:tcPr/>
          <w:p>
            <w:pPr>
              <w:pStyle w:val="Compact"/>
            </w:pPr>
            <w:r>
              <w:t xml:space="preserve">Theory-driven models</w:t>
            </w:r>
          </w:p>
        </w:tc>
        <w:tc>
          <w:tcPr/>
          <w:p>
            <w:pPr>
              <w:pStyle w:val="Compact"/>
            </w:pPr>
            <w:r>
              <w:t xml:space="preserve">Capture body-size scaling, energetic constraints, and trophic dependencies.</w:t>
            </w:r>
          </w:p>
        </w:tc>
      </w:tr>
      <w:tr>
        <w:tc>
          <w:tcPr/>
          <w:p>
            <w:pPr>
              <w:pStyle w:val="Compact"/>
            </w:pPr>
            <w:r>
              <w:t xml:space="preserve">How robust are inferences to uncertainty?</w:t>
            </w:r>
          </w:p>
        </w:tc>
        <w:tc>
          <w:tcPr/>
          <w:p>
            <w:pPr>
              <w:pStyle w:val="Compact"/>
            </w:pPr>
            <w:r>
              <w:t xml:space="preserve">Ensembles across multiple model families</w:t>
            </w:r>
          </w:p>
        </w:tc>
        <w:tc>
          <w:tcPr/>
          <w:p>
            <w:pPr>
              <w:pStyle w:val="Compact"/>
            </w:pPr>
            <w:r>
              <w:t xml:space="preserve">Allows quantifying how conclusions depend on assumptions.</w:t>
            </w:r>
          </w:p>
        </w:tc>
      </w:tr>
    </w:tbl>
    <w:bookmarkEnd w:id="57"/>
    <w:bookmarkStart w:id="58" w:name="X7ab01c2eb657a7b66dbd6505669be9f1f6b9ed9"/>
    <w:p>
      <w:pPr>
        <w:pStyle w:val="Heading2"/>
      </w:pPr>
      <w:r>
        <w:t xml:space="preserve">3.4 Implications for the use of food webs in paleoecology</w:t>
      </w:r>
    </w:p>
    <w:p>
      <w:pPr>
        <w:pStyle w:val="FirstParagraph"/>
      </w:pPr>
      <w:r>
        <w:t xml:space="preserve">Our analysis underscores three important implications for the broader field:</w:t>
      </w:r>
    </w:p>
    <w:p>
      <w:pPr>
        <w:numPr>
          <w:ilvl w:val="0"/>
          <w:numId w:val="1001"/>
        </w:numPr>
      </w:pPr>
      <w:r>
        <w:rPr>
          <w:b/>
          <w:bCs/>
        </w:rPr>
        <w:t xml:space="preserve">Interpretations of ancient food webs must explicitly acknowledge model assumptions:</w:t>
      </w:r>
      <w:r>
        <w:t xml:space="preserve"> </w:t>
      </w:r>
      <w:r>
        <w:t xml:space="preserve">Without this, differences in reconstructed networks may be mistakenly attributed to biological change rather than methodological artifacts.</w:t>
      </w:r>
    </w:p>
    <w:p>
      <w:pPr>
        <w:numPr>
          <w:ilvl w:val="0"/>
          <w:numId w:val="1001"/>
        </w:numPr>
      </w:pPr>
      <w:r>
        <w:rPr>
          <w:b/>
          <w:bCs/>
        </w:rPr>
        <w:t xml:space="preserve">Comparisons across studies must be standardised by model family:</w:t>
      </w:r>
      <w:r>
        <w:t xml:space="preserve"> </w:t>
      </w:r>
      <w:r>
        <w:t xml:space="preserve">Comparing a metaweb from one study to a realised network from another risks generating misleading conclusions about ecological differences across space or time.</w:t>
      </w:r>
    </w:p>
    <w:p>
      <w:pPr>
        <w:numPr>
          <w:ilvl w:val="0"/>
          <w:numId w:val="1001"/>
        </w:numPr>
      </w:pPr>
      <w:r>
        <w:rPr>
          <w:b/>
          <w:bCs/>
        </w:rPr>
        <w:t xml:space="preserve">Mechanistic paleo-specific models alone cannot capture the full spectrum of possible network archetypes:</w:t>
      </w:r>
      <w:r>
        <w:t xml:space="preserve"> </w:t>
      </w:r>
      <w:r>
        <w:t xml:space="preserve">Incorporating theory-driven models allows paleoecology to leverage decades of research on modern food-web structure and dynamics, broadening the range of ecological questions that can be asked.</w:t>
      </w:r>
    </w:p>
    <w:bookmarkEnd w:id="58"/>
    <w:bookmarkStart w:id="59" w:name="recommendations-and-best-practices"/>
    <w:p>
      <w:pPr>
        <w:pStyle w:val="Heading2"/>
      </w:pPr>
      <w:r>
        <w:t xml:space="preserve">3.5 Recommendations and best practices</w:t>
      </w:r>
    </w:p>
    <w:p>
      <w:pPr>
        <w:pStyle w:val="FirstParagraph"/>
      </w:pPr>
      <w:r>
        <w:t xml:space="preserve">To support consistent, transparent use of network reconstruction methods in paleoecology, we propose the following guidelines (which could be highlighted as a boxed summary):</w:t>
      </w:r>
    </w:p>
    <w:p>
      <w:pPr>
        <w:numPr>
          <w:ilvl w:val="0"/>
          <w:numId w:val="1002"/>
        </w:numPr>
      </w:pPr>
      <w:r>
        <w:rPr>
          <w:b/>
          <w:bCs/>
        </w:rPr>
        <w:t xml:space="preserve">Start with the ecological question:</w:t>
      </w:r>
      <w:r>
        <w:t xml:space="preserve"> </w:t>
      </w:r>
      <w:r>
        <w:t xml:space="preserve">then identify the network representation (feasible, realised, structural) best aligned with it.</w:t>
      </w:r>
    </w:p>
    <w:p>
      <w:pPr>
        <w:numPr>
          <w:ilvl w:val="0"/>
          <w:numId w:val="1002"/>
        </w:numPr>
      </w:pPr>
      <w:r>
        <w:rPr>
          <w:b/>
          <w:bCs/>
        </w:rPr>
        <w:t xml:space="preserve">Use multiple models whenever possible:</w:t>
      </w:r>
      <w:r>
        <w:t xml:space="preserve"> to evaluate whether key conclusions are model-dependent.</w:t>
      </w:r>
    </w:p>
    <w:p>
      <w:pPr>
        <w:numPr>
          <w:ilvl w:val="0"/>
          <w:numId w:val="1002"/>
        </w:numPr>
      </w:pPr>
      <w:r>
        <w:rPr>
          <w:b/>
          <w:bCs/>
        </w:rPr>
        <w:t xml:space="preserve">Report all model assumptions explicitly and transparently:</w:t>
      </w:r>
      <w:r>
        <w:t xml:space="preserve"> </w:t>
      </w:r>
      <w:r>
        <w:t xml:space="preserve">including body-size estimation methods, trait inference procedures, and parameter choices.</w:t>
      </w:r>
    </w:p>
    <w:p>
      <w:pPr>
        <w:numPr>
          <w:ilvl w:val="0"/>
          <w:numId w:val="1002"/>
        </w:numPr>
      </w:pPr>
      <w:r>
        <w:rPr>
          <w:b/>
          <w:bCs/>
        </w:rPr>
        <w:t xml:space="preserve">Perform sensitivity analyses:</w:t>
      </w:r>
      <w:r>
        <w:t xml:space="preserve"> </w:t>
      </w:r>
      <w:r>
        <w:t xml:space="preserve">particularly for size-based models and connectance assumptions.</w:t>
      </w:r>
    </w:p>
    <w:p>
      <w:pPr>
        <w:numPr>
          <w:ilvl w:val="0"/>
          <w:numId w:val="1002"/>
        </w:numPr>
      </w:pPr>
      <w:r>
        <w:rPr>
          <w:b/>
          <w:bCs/>
        </w:rPr>
        <w:t xml:space="preserve">Avoid comparing networks built with different model families:</w:t>
      </w:r>
      <w:r>
        <w:t xml:space="preserve"> </w:t>
      </w:r>
      <w:r>
        <w:t xml:space="preserve">unless explicitly testing model effects.</w:t>
      </w:r>
    </w:p>
    <w:p>
      <w:pPr>
        <w:numPr>
          <w:ilvl w:val="0"/>
          <w:numId w:val="1002"/>
        </w:numPr>
      </w:pPr>
      <w:r>
        <w:rPr>
          <w:b/>
          <w:bCs/>
        </w:rPr>
        <w:t xml:space="preserve">Distinguish between node-level and link-level inference:</w:t>
      </w:r>
      <w:r>
        <w:t xml:space="preserve"> </w:t>
      </w:r>
      <w:r>
        <w:t xml:space="preserve">as they respond differently to model choice.</w:t>
      </w:r>
    </w:p>
    <w:bookmarkEnd w:id="59"/>
    <w:bookmarkStart w:id="64" w:name="concluding-remarks"/>
    <w:p>
      <w:pPr>
        <w:pStyle w:val="Heading2"/>
      </w:pPr>
      <w:r>
        <w:t xml:space="preserve">3.6 Concluding remarks</w:t>
      </w:r>
    </w:p>
    <w:p>
      <w:pPr>
        <w:pStyle w:val="FirstParagraph"/>
      </w:pPr>
      <w:r>
        <w:t xml:space="preserve">Our results reveal that network construction models differ far more than is commonly appreciated in paleoecology. Because food webs are increasingly used to infer ecological resilience, collapse dynamics, and responses to environmental change, it is crucial to recognise that these inferences are shaped as much by modelling decisions as by fossil data. By mapping model families to ecological questions and demonstrating how model assumptions influence inferred patterns, our study provides a framework for more transparent, robust, and question-driven reconstruction of paleo food webs.</w:t>
      </w:r>
    </w:p>
    <w:tbl>
      <w:tblPr>
        <w:tblStyle w:val="Table"/>
        <w:tblW w:type="pct" w:w="5000"/>
        <w:tblLayout w:type="fixed"/>
        <w:tblLook w:firstRow="0" w:lastRow="0" w:firstColumn="0" w:lastColumn="0" w:noHBand="0" w:noVBand="0" w:val="0000"/>
      </w:tblPr>
      <w:tblGrid>
        <w:gridCol w:w="7920"/>
      </w:tblGrid>
      <w:tr>
        <w:tc>
          <w:tcPr/>
          <w:bookmarkStart w:id="63" w:name="fig-guidelines"/>
          <w:p>
            <w:pPr>
              <w:pStyle w:val="Compact"/>
              <w:jc w:val="center"/>
            </w:pPr>
            <w:r>
              <w:drawing>
                <wp:inline>
                  <wp:extent cx="5334000" cy="7112000"/>
                  <wp:effectExtent b="0" l="0" r="0" t="0"/>
                  <wp:docPr descr="" title="" id="61" name="Picture"/>
                  <a:graphic>
                    <a:graphicData uri="http://schemas.openxmlformats.org/drawingml/2006/picture">
                      <pic:pic>
                        <pic:nvPicPr>
                          <pic:cNvPr descr="figures/guidelines.png" id="62" name="Picture"/>
                          <pic:cNvPicPr>
                            <a:picLocks noChangeArrowheads="1" noChangeAspect="1"/>
                          </pic:cNvPicPr>
                        </pic:nvPicPr>
                        <pic:blipFill>
                          <a:blip r:embed="rId60"/>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3"/>
        </w:tc>
      </w:tr>
    </w:tbl>
    <w:bookmarkEnd w:id="64"/>
    <w:bookmarkEnd w:id="65"/>
    <w:bookmarkStart w:id="131" w:name="references"/>
    <w:p>
      <w:pPr>
        <w:pStyle w:val="Heading1"/>
      </w:pPr>
      <w:r>
        <w:t xml:space="preserve">References</w:t>
      </w:r>
    </w:p>
    <w:bookmarkStart w:id="130" w:name="refs"/>
    <w:bookmarkStart w:id="67" w:name="ref-dunne2008"/>
    <w:p>
      <w:pPr>
        <w:pStyle w:val="Bibliography"/>
      </w:pPr>
      <w:r>
        <w:t xml:space="preserve">1.</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66">
        <w:r>
          <w:rPr>
            <w:rStyle w:val="Hyperlink"/>
          </w:rPr>
          <w:t xml:space="preserve">Compilation and Network Analyses of Cambrian Food Webs</w:t>
        </w:r>
      </w:hyperlink>
      <w:r>
        <w:t xml:space="preserve">.</w:t>
      </w:r>
      <w:r>
        <w:t xml:space="preserve"> </w:t>
      </w:r>
      <w:r>
        <w:rPr>
          <w:i/>
          <w:iCs/>
        </w:rPr>
        <w:t xml:space="preserve">PLOS Biology</w:t>
      </w:r>
      <w:r>
        <w:t xml:space="preserve"> </w:t>
      </w:r>
      <w:r>
        <w:t xml:space="preserve">6, e102</w:t>
      </w:r>
    </w:p>
    <w:bookmarkEnd w:id="67"/>
    <w:bookmarkStart w:id="69" w:name="ref-dunne2014"/>
    <w:p>
      <w:pPr>
        <w:pStyle w:val="Bibliography"/>
      </w:pPr>
      <w:r>
        <w:t xml:space="preserve">2.</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68">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69"/>
    <w:bookmarkStart w:id="71" w:name="ref-kiessling2019"/>
    <w:p>
      <w:pPr>
        <w:pStyle w:val="Bibliography"/>
      </w:pPr>
      <w:r>
        <w:t xml:space="preserve">3.</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70">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71"/>
    <w:bookmarkStart w:id="73" w:name="ref-dillon2022"/>
    <w:p>
      <w:pPr>
        <w:pStyle w:val="Bibliography"/>
      </w:pPr>
      <w:r>
        <w:t xml:space="preserve">4.</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72">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73"/>
    <w:bookmarkStart w:id="75" w:name="ref-thuiller2024"/>
    <w:p>
      <w:pPr>
        <w:pStyle w:val="Bibliography"/>
      </w:pPr>
      <w:r>
        <w:t xml:space="preserve">5.</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4">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5"/>
    <w:bookmarkStart w:id="77" w:name="ref-dunhill2024"/>
    <w:p>
      <w:pPr>
        <w:pStyle w:val="Bibliography"/>
      </w:pPr>
      <w:r>
        <w:t xml:space="preserve">6.</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6">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7"/>
    <w:bookmarkStart w:id="79" w:name="ref-hao2025"/>
    <w:p>
      <w:pPr>
        <w:pStyle w:val="Bibliography"/>
      </w:pPr>
      <w:r>
        <w:t xml:space="preserve">7.</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8">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9"/>
    <w:bookmarkStart w:id="81" w:name="ref-yeakel2014"/>
    <w:p>
      <w:pPr>
        <w:pStyle w:val="Bibliography"/>
      </w:pPr>
      <w:r>
        <w:t xml:space="preserve">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80">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81"/>
    <w:bookmarkStart w:id="83" w:name="ref-jenny2019"/>
    <w:p>
      <w:pPr>
        <w:pStyle w:val="Bibliography"/>
      </w:pPr>
      <w:r>
        <w:t xml:space="preserve">9.</w:t>
      </w:r>
      <w:r>
        <w:t xml:space="preserve"> </w:t>
      </w:r>
      <w:r>
        <w:t xml:space="preserve">	</w:t>
      </w:r>
      <w:r>
        <w:t xml:space="preserve">Jenny, D.</w:t>
      </w:r>
      <w:r>
        <w:t xml:space="preserve"> </w:t>
      </w:r>
      <w:r>
        <w:rPr>
          <w:i/>
          <w:iCs/>
        </w:rPr>
        <w:t xml:space="preserve">et al.</w:t>
      </w:r>
      <w:r>
        <w:t xml:space="preserve"> </w:t>
      </w:r>
      <w:r>
        <w:t xml:space="preserve">(2019)</w:t>
      </w:r>
      <w:r>
        <w:t xml:space="preserve"> </w:t>
      </w:r>
      <w:hyperlink r:id="rId82">
        <w:r>
          <w:rPr>
            <w:rStyle w:val="Hyperlink"/>
          </w:rPr>
          <w:t xml:space="preserve">Predatory behaviour and taphonomy of a Jurassic belemnoid coleoid (Diplobelida, Cephalopoda)</w:t>
        </w:r>
      </w:hyperlink>
      <w:r>
        <w:t xml:space="preserve">.</w:t>
      </w:r>
      <w:r>
        <w:t xml:space="preserve"> </w:t>
      </w:r>
      <w:r>
        <w:rPr>
          <w:i/>
          <w:iCs/>
        </w:rPr>
        <w:t xml:space="preserve">Scientific Reports</w:t>
      </w:r>
      <w:r>
        <w:t xml:space="preserve"> </w:t>
      </w:r>
      <w:r>
        <w:t xml:space="preserve">9, 7944</w:t>
      </w:r>
    </w:p>
    <w:bookmarkEnd w:id="83"/>
    <w:bookmarkStart w:id="85" w:name="ref-vullo2011"/>
    <w:p>
      <w:pPr>
        <w:pStyle w:val="Bibliography"/>
      </w:pPr>
      <w:r>
        <w:t xml:space="preserve">10.</w:t>
      </w:r>
      <w:r>
        <w:t xml:space="preserve"> </w:t>
      </w:r>
      <w:r>
        <w:t xml:space="preserve">	</w:t>
      </w:r>
      <w:r>
        <w:t xml:space="preserve">Vullo, R. (2011)</w:t>
      </w:r>
      <w:r>
        <w:t xml:space="preserve"> </w:t>
      </w:r>
      <w:hyperlink r:id="rId84">
        <w:r>
          <w:rPr>
            <w:rStyle w:val="Hyperlink"/>
          </w:rPr>
          <w:t xml:space="preserve">Direct evidence of hybodont shark predation on Late Jurassic ammonites</w:t>
        </w:r>
      </w:hyperlink>
      <w:r>
        <w:t xml:space="preserve">.</w:t>
      </w:r>
      <w:r>
        <w:t xml:space="preserve"> </w:t>
      </w:r>
      <w:r>
        <w:rPr>
          <w:i/>
          <w:iCs/>
        </w:rPr>
        <w:t xml:space="preserve">Naturwissenschaften</w:t>
      </w:r>
      <w:r>
        <w:t xml:space="preserve"> </w:t>
      </w:r>
      <w:r>
        <w:t xml:space="preserve">98, 545–549</w:t>
      </w:r>
    </w:p>
    <w:bookmarkEnd w:id="85"/>
    <w:bookmarkStart w:id="87" w:name="ref-morales-castilla2015"/>
    <w:p>
      <w:pPr>
        <w:pStyle w:val="Bibliography"/>
      </w:pPr>
      <w:r>
        <w:t xml:space="preserve">11.</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7"/>
    <w:bookmarkStart w:id="89" w:name="ref-pichler2023"/>
    <w:p>
      <w:pPr>
        <w:pStyle w:val="Bibliography"/>
      </w:pPr>
      <w:r>
        <w:t xml:space="preserve">12.</w:t>
      </w:r>
      <w:r>
        <w:t xml:space="preserve"> </w:t>
      </w:r>
      <w:r>
        <w:t xml:space="preserve">	</w:t>
      </w:r>
      <w:r>
        <w:t xml:space="preserve">Pichler, M. and Hartig, F. (2023)</w:t>
      </w:r>
      <w:r>
        <w:t xml:space="preserve"> </w:t>
      </w:r>
      <w:hyperlink r:id="rId88">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9"/>
    <w:bookmarkStart w:id="91" w:name="ref-strydom2021"/>
    <w:p>
      <w:pPr>
        <w:pStyle w:val="Bibliography"/>
      </w:pPr>
      <w:r>
        <w:t xml:space="preserve">13.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1"/>
    <w:bookmarkStart w:id="93" w:name="ref-allesina2008"/>
    <w:p>
      <w:pPr>
        <w:pStyle w:val="Bibliography"/>
      </w:pPr>
      <w:r>
        <w:t xml:space="preserve">14.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2">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3"/>
    <w:bookmarkStart w:id="95" w:name="ref-jordano2016"/>
    <w:p>
      <w:pPr>
        <w:pStyle w:val="Bibliography"/>
      </w:pPr>
      <w:r>
        <w:t xml:space="preserve">15.</w:t>
      </w:r>
      <w:r>
        <w:t xml:space="preserve"> </w:t>
      </w:r>
      <w:r>
        <w:t xml:space="preserve">	</w:t>
      </w:r>
      <w:r>
        <w:t xml:space="preserve">Jordano, P. (2016)</w:t>
      </w:r>
      <w:r>
        <w:t xml:space="preserve"> </w:t>
      </w:r>
      <w:hyperlink r:id="rId94">
        <w:r>
          <w:rPr>
            <w:rStyle w:val="Hyperlink"/>
          </w:rPr>
          <w:t xml:space="preserve">Sampling networks of ecological interactions</w:t>
        </w:r>
      </w:hyperlink>
      <w:r>
        <w:t xml:space="preserve">.</w:t>
      </w:r>
      <w:r>
        <w:t xml:space="preserve"> </w:t>
      </w:r>
      <w:r>
        <w:rPr>
          <w:i/>
          <w:iCs/>
        </w:rPr>
        <w:t xml:space="preserve">Functional Ecology</w:t>
      </w:r>
      <w:r>
        <w:t xml:space="preserve"> </w:t>
      </w:r>
      <w:r>
        <w:t xml:space="preserve">30, 1883–1893</w:t>
      </w:r>
    </w:p>
    <w:bookmarkEnd w:id="95"/>
    <w:bookmarkStart w:id="97" w:name="ref-shaw2024"/>
    <w:p>
      <w:pPr>
        <w:pStyle w:val="Bibliography"/>
      </w:pPr>
      <w:r>
        <w:t xml:space="preserve">16.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96">
        <w:r>
          <w:rPr>
            <w:rStyle w:val="Hyperlink"/>
          </w:rPr>
          <w:t xml:space="preserve">A framework for reconstructing ancient food webs using functional trait data</w:t>
        </w:r>
      </w:hyperlink>
      <w:r>
        <w:t xml:space="preserve">bioRxiv, 2024.01.30.578036</w:t>
      </w:r>
    </w:p>
    <w:bookmarkEnd w:id="97"/>
    <w:bookmarkStart w:id="99" w:name="ref-roopnarine2006"/>
    <w:p>
      <w:pPr>
        <w:pStyle w:val="Bibliography"/>
      </w:pPr>
      <w:r>
        <w:t xml:space="preserve">17.</w:t>
      </w:r>
      <w:r>
        <w:t xml:space="preserve"> </w:t>
      </w:r>
      <w:r>
        <w:t xml:space="preserve">	</w:t>
      </w:r>
      <w:r>
        <w:t xml:space="preserve">Roopnarine, P.D. (2006)</w:t>
      </w:r>
      <w:r>
        <w:t xml:space="preserve"> </w:t>
      </w:r>
      <w:hyperlink r:id="rId9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9"/>
    <w:bookmarkStart w:id="101" w:name="ref-fricke2022"/>
    <w:p>
      <w:pPr>
        <w:pStyle w:val="Bibliography"/>
      </w:pPr>
      <w:r>
        <w:t xml:space="preserve">18.</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0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101"/>
    <w:bookmarkStart w:id="103" w:name="ref-erdos1959"/>
    <w:p>
      <w:pPr>
        <w:pStyle w:val="Bibliography"/>
      </w:pPr>
      <w:r>
        <w:t xml:space="preserve">19.</w:t>
      </w:r>
      <w:r>
        <w:t xml:space="preserve"> </w:t>
      </w:r>
      <w:r>
        <w:t xml:space="preserve">	</w:t>
      </w:r>
      <w:r>
        <w:t xml:space="preserve">Erdős, P. and Rényi, A. (1959)</w:t>
      </w:r>
      <w:r>
        <w:t xml:space="preserve"> </w:t>
      </w:r>
      <w:hyperlink r:id="rId102">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103"/>
    <w:bookmarkStart w:id="105" w:name="ref-williams2008"/>
    <w:p>
      <w:pPr>
        <w:pStyle w:val="Bibliography"/>
      </w:pPr>
      <w:r>
        <w:t xml:space="preserve">20.</w:t>
      </w:r>
      <w:r>
        <w:t xml:space="preserve"> </w:t>
      </w:r>
      <w:r>
        <w:t xml:space="preserve">	</w:t>
      </w:r>
      <w:r>
        <w:t xml:space="preserve">Williams, R.J. and Martinez, N.D. (2008)</w:t>
      </w:r>
      <w:r>
        <w:t xml:space="preserve"> </w:t>
      </w:r>
      <w:hyperlink r:id="rId10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5"/>
    <w:bookmarkStart w:id="107" w:name="ref-petchey2008"/>
    <w:p>
      <w:pPr>
        <w:pStyle w:val="Bibliography"/>
      </w:pPr>
      <w:r>
        <w:t xml:space="preserve">21.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7"/>
    <w:bookmarkStart w:id="109" w:name="ref-schneider2016"/>
    <w:p>
      <w:pPr>
        <w:pStyle w:val="Bibliography"/>
      </w:pPr>
      <w:r>
        <w:t xml:space="preserve">22.</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9"/>
    <w:bookmarkStart w:id="111" w:name="ref-rohr2010"/>
    <w:p>
      <w:pPr>
        <w:pStyle w:val="Bibliography"/>
      </w:pPr>
      <w:r>
        <w:t xml:space="preserve">23.</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1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11"/>
    <w:bookmarkStart w:id="113" w:name="ref-bambach2007"/>
    <w:p>
      <w:pPr>
        <w:pStyle w:val="Bibliography"/>
      </w:pPr>
      <w:r>
        <w:t xml:space="preserve">24.</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1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milo2002"/>
    <w:p>
      <w:pPr>
        <w:pStyle w:val="Bibliography"/>
      </w:pPr>
      <w:r>
        <w:t xml:space="preserve">27.</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9"/>
    <w:bookmarkStart w:id="121" w:name="ref-stouffer2007"/>
    <w:p>
      <w:pPr>
        <w:pStyle w:val="Bibliography"/>
      </w:pPr>
      <w:r>
        <w:t xml:space="preserve">28.</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2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21"/>
    <w:bookmarkStart w:id="123" w:name="ref-williams2000"/>
    <w:p>
      <w:pPr>
        <w:pStyle w:val="Bibliography"/>
      </w:pPr>
      <w:r>
        <w:t xml:space="preserve">29.</w:t>
      </w:r>
      <w:r>
        <w:t xml:space="preserve"> </w:t>
      </w:r>
      <w:r>
        <w:t xml:space="preserve">	</w:t>
      </w:r>
      <w:r>
        <w:t xml:space="preserve">Williams, R.J. and Martinez, N.D. (2000)</w:t>
      </w:r>
      <w:r>
        <w:t xml:space="preserve"> </w:t>
      </w:r>
      <w:hyperlink r:id="rId12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23"/>
    <w:bookmarkStart w:id="125" w:name="ref-poisot2012"/>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7"/>
    <w:bookmarkStart w:id="129" w:name="ref-ings2009"/>
    <w:p>
      <w:pPr>
        <w:pStyle w:val="Bibliography"/>
      </w:pPr>
      <w:r>
        <w:t xml:space="preserve">32.</w:t>
      </w:r>
      <w:r>
        <w:t xml:space="preserve"> </w:t>
      </w:r>
      <w:r>
        <w:t xml:space="preserve">	</w:t>
      </w:r>
      <w:r>
        <w:t xml:space="preserve">Ings, T.C.</w:t>
      </w:r>
      <w:r>
        <w:t xml:space="preserve"> </w:t>
      </w:r>
      <w:r>
        <w:rPr>
          <w:i/>
          <w:iCs/>
        </w:rPr>
        <w:t xml:space="preserve">et al.</w:t>
      </w:r>
      <w:r>
        <w:t xml:space="preserve"> </w:t>
      </w:r>
      <w:r>
        <w:t xml:space="preserve">(2009)</w:t>
      </w:r>
      <w:r>
        <w:t xml:space="preserve"> </w:t>
      </w:r>
      <w:hyperlink r:id="rId128">
        <w:r>
          <w:rPr>
            <w:rStyle w:val="Hyperlink"/>
          </w:rPr>
          <w:t xml:space="preserve">Ecological networks–beyond food webs</w:t>
        </w:r>
      </w:hyperlink>
      <w:r>
        <w:t xml:space="preserve">.</w:t>
      </w:r>
      <w:r>
        <w:t xml:space="preserve"> </w:t>
      </w:r>
      <w:r>
        <w:rPr>
          <w:i/>
          <w:iCs/>
        </w:rPr>
        <w:t xml:space="preserve">The Journal of Animal Ecology</w:t>
      </w:r>
      <w:r>
        <w:t xml:space="preserve"> </w:t>
      </w:r>
      <w:r>
        <w:t xml:space="preserve">78, 253–269</w:t>
      </w:r>
    </w:p>
    <w:bookmarkEnd w:id="129"/>
    <w:bookmarkEnd w:id="130"/>
    <w:bookmarkEnd w:id="13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hyperlink" Id="rId126" Target="https://doi.org/10.1002/ece3.8643" TargetMode="External" /><Relationship Type="http://schemas.openxmlformats.org/officeDocument/2006/relationships/hyperlink" Id="rId84" Target="https://doi.org/10.1007/s00114-011-0789-9" TargetMode="External" /><Relationship Type="http://schemas.openxmlformats.org/officeDocument/2006/relationships/hyperlink" Id="rId86"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82" Target="https://doi.org/10.1038/s41598-019-44260-w"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90" Target="https://doi.org/10.1098/rstb.2021.0063" TargetMode="External" /><Relationship Type="http://schemas.openxmlformats.org/officeDocument/2006/relationships/hyperlink" Id="rId96" Target="https://doi.org/10.1101/2024.01.30.578036" TargetMode="External" /><Relationship Type="http://schemas.openxmlformats.org/officeDocument/2006/relationships/hyperlink" Id="rId94" Target="https://doi.org/10.1111/1365-2435.12763" TargetMode="External" /><Relationship Type="http://schemas.openxmlformats.org/officeDocument/2006/relationships/hyperlink" Id="rId88"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28" Target="https://doi.org/10.1111/j.1365-2656.2008.01460.x" TargetMode="External" /><Relationship Type="http://schemas.openxmlformats.org/officeDocument/2006/relationships/hyperlink" Id="rId112"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92" Target="https://doi.org/10.1126/science.1156269" TargetMode="External" /><Relationship Type="http://schemas.openxmlformats.org/officeDocument/2006/relationships/hyperlink" Id="rId118" Target="https://doi.org/10.1126/science.298.5594.824" TargetMode="External" /><Relationship Type="http://schemas.openxmlformats.org/officeDocument/2006/relationships/hyperlink" Id="rId100"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66" Target="https://doi.org/10.1371/journal.pbio.0060102"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6" Target="https://doi.org/10.1002/ece3.8643" TargetMode="External" /><Relationship Type="http://schemas.openxmlformats.org/officeDocument/2006/relationships/hyperlink" Id="rId84" Target="https://doi.org/10.1007/s00114-011-0789-9" TargetMode="External" /><Relationship Type="http://schemas.openxmlformats.org/officeDocument/2006/relationships/hyperlink" Id="rId86"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82" Target="https://doi.org/10.1038/s41598-019-44260-w"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90" Target="https://doi.org/10.1098/rstb.2021.0063" TargetMode="External" /><Relationship Type="http://schemas.openxmlformats.org/officeDocument/2006/relationships/hyperlink" Id="rId96" Target="https://doi.org/10.1101/2024.01.30.578036" TargetMode="External" /><Relationship Type="http://schemas.openxmlformats.org/officeDocument/2006/relationships/hyperlink" Id="rId94" Target="https://doi.org/10.1111/1365-2435.12763" TargetMode="External" /><Relationship Type="http://schemas.openxmlformats.org/officeDocument/2006/relationships/hyperlink" Id="rId88"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28" Target="https://doi.org/10.1111/j.1365-2656.2008.01460.x" TargetMode="External" /><Relationship Type="http://schemas.openxmlformats.org/officeDocument/2006/relationships/hyperlink" Id="rId112"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92" Target="https://doi.org/10.1126/science.1156269" TargetMode="External" /><Relationship Type="http://schemas.openxmlformats.org/officeDocument/2006/relationships/hyperlink" Id="rId118" Target="https://doi.org/10.1126/science.298.5594.824" TargetMode="External" /><Relationship Type="http://schemas.openxmlformats.org/officeDocument/2006/relationships/hyperlink" Id="rId100"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66" Target="https://doi.org/10.1371/journal.pbio.0060102"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deep-time food webs: model assumptions drive paleoecological inference</dc:title>
  <dc:creator>Tanya Strydom; Baran Karapunar; Andrew P. Beckerman; Alexander Dunhill</dc:creator>
  <cp:keywords>food web, network construction</cp:keywords>
  <dcterms:created xsi:type="dcterms:W3CDTF">2026-01-08T14:15:41Z</dcterms:created>
  <dcterms:modified xsi:type="dcterms:W3CDTF">2026-01-08T14:15:41Z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vary widely in their assumptions, mechanisms, and data requirements. Here, we evaluate which network construction approaches are most suitable for paleo-food-web reconstruction given the constraints of the fossil record, and we assess how model choice shapes the networks we infer. Using the Toarcian Oceanic Anoxic Event (Early Jurassic, ~183 Ma) as a case study, we compare six modelling approaches encompassing mechanistic, structural, and theory-based methods. These models yield strikingly different network structures and pairwise interactions, and that these discrepancies propagate into ecological inference, including conclusions about extinction dynamics. Our results highlight the importance of the need to align model choice with research questions and underscore the interpretative risks of treating all food-web reconstruction methods as interchangeable.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2026-01-08</vt:lpwstr>
  </property>
  <property fmtid="{D5CDD505-2E9C-101B-9397-08002B2CF9AE}" pid="13" name="engines">
    <vt:lpwstr/>
  </property>
  <property fmtid="{D5CDD505-2E9C-101B-9397-08002B2CF9AE}" pid="14" name="funding">
    <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